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00" w:lineRule="exact"/>
        <w:jc w:val="center"/>
        <w:textAlignment w:val="auto"/>
        <w:rPr>
          <w:rFonts w:hint="default" w:ascii="Arial" w:hAnsi="Arial" w:eastAsia="Arial" w:cs="Arial"/>
          <w:spacing w:val="8"/>
          <w:sz w:val="18"/>
          <w:szCs w:val="18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spacing w:val="0"/>
          <w:sz w:val="28"/>
          <w:szCs w:val="28"/>
          <w:shd w:val="clear" w:fill="FFFFFF"/>
        </w:rPr>
        <w:t>虚拟仿真</w:t>
      </w: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spacing w:val="0"/>
          <w:sz w:val="28"/>
          <w:szCs w:val="28"/>
          <w:shd w:val="clear" w:fill="FFFFFF"/>
          <w:lang w:val="en-US" w:eastAsia="zh-CN"/>
        </w:rPr>
        <w:t>实验教学</w:t>
      </w: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spacing w:val="0"/>
          <w:sz w:val="28"/>
          <w:szCs w:val="28"/>
          <w:shd w:val="clear" w:fill="FFFFFF"/>
        </w:rPr>
        <w:t>一流课程评审指标</w:t>
      </w: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spacing w:val="0"/>
          <w:sz w:val="28"/>
          <w:szCs w:val="28"/>
          <w:shd w:val="clear" w:fill="FFFFFF"/>
          <w:lang w:val="en-US" w:eastAsia="zh-CN"/>
        </w:rPr>
        <w:t>体系</w:t>
      </w:r>
    </w:p>
    <w:tbl>
      <w:tblPr>
        <w:tblStyle w:val="4"/>
        <w:tblW w:w="5108" w:type="pct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54"/>
        <w:gridCol w:w="1166"/>
        <w:gridCol w:w="3083"/>
        <w:gridCol w:w="8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重百分比</w:t>
            </w:r>
          </w:p>
        </w:tc>
        <w:tc>
          <w:tcPr>
            <w:tcW w:w="404" w:type="pc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一级指标</w:t>
            </w:r>
          </w:p>
        </w:tc>
        <w:tc>
          <w:tcPr>
            <w:tcW w:w="1068" w:type="pc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二级指标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观察点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0" w:type="auto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一、应用强度矩阵 30分</w:t>
            </w:r>
          </w:p>
        </w:tc>
        <w:tc>
          <w:tcPr>
            <w:tcW w:w="40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应用强度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8" w:type="pc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实验教学信息化总体规划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1、实验教学总体规划方案中有关信息化的描述；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2、实验教学信息化中有关虚拟仿真的描述；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0" w:type="auto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40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1068" w:type="pc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虚拟实验在实验教学课程体系中的位置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1、实验课程在整个课程体系中所占比例；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2、实验课程对主干基础课的支撑程度；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3、虚拟实验在实验课程中所占比例；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4、虚拟实验的学习刚性（必修还是选修）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0" w:type="auto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40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1068" w:type="pc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虚拟仿真项目在实验课程中发挥的作用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1、是否坚持了能实不虚的原则；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2、是否实现了虚实结合；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3、项目完成情况如何认定实验成绩；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0" w:type="auto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40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1068" w:type="pc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虚拟仿真实验对原有教学形式的影响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1、是否提高了原有线下实验的效率；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2、是否增强了原有线下实验的效果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3、是否实现了线上线下相结合。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0" w:type="auto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二、应用广度矩阵 20分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0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应用广度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8" w:type="pc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本专业应用项目的情况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1、必修课使用人数和学时数；2、选修课使用人数和学时数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0" w:type="auto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40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1068" w:type="pc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本学科其他专业应用项目的情况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1、使用项目的专业数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2、涉及的人数和学时数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0" w:type="auto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40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1068" w:type="pc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本校应用项目的情况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1、是否由其他学科使用该项目；2、使用情况；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0" w:type="auto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40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1068" w:type="pc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外校应用项目的情况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兄弟院校将该项目用于实验教学的情况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0" w:type="auto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40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1068" w:type="pc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其他单位应用项目的情况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相关行业将该项目用于科普或员工 培训的情况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tblCellSpacing w:w="0" w:type="dxa"/>
        </w:trPr>
        <w:tc>
          <w:tcPr>
            <w:tcW w:w="0" w:type="auto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三、应用效度矩阵 30分</w:t>
            </w:r>
          </w:p>
        </w:tc>
        <w:tc>
          <w:tcPr>
            <w:tcW w:w="40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应用效度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8" w:type="pc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虚拟实验填补实验教学空白 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通过使用虚拟实验，填补了原有实验教学体 系的空白，更好的支撑了课堂教学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0" w:type="auto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40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1068" w:type="pc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虚拟实验优化原有实验教学环节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1、通过使用虚拟实验，提高了原实验教学环节 的效率；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2、通过使用虚拟实验，丰富了教学手段，拓展 课学生动手能力培养方式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0" w:type="auto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40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1068" w:type="pc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虚拟实验的实际教学效果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1、通过虚拟实验，学生对理论教学知识点的掌 握是否得到加强；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2、通过虚拟实验，学生对实验原理、流程和操作是否有效的掌握和模拟训练；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3、通过虚拟实验，对学生综合分析问题和解决问题能力的培养效果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4、学生评价与反馈；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0" w:type="auto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四、保障机制矩阵 20分</w:t>
            </w:r>
          </w:p>
        </w:tc>
        <w:tc>
          <w:tcPr>
            <w:tcW w:w="40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保障机制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8" w:type="pc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应用与服务团队建设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是否有稳定的团队负责项目的开发与持续建设，力 量是否充足，是否具有多元化的背景，分工是否明确。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0" w:type="auto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40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1068" w:type="pc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政策性支撑措施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1、对虚拟仿真项目建设的持续投入；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2、对学生使用虚拟项目是否有学分或学时认定；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3、对教师参与开发和持续建设虚拟项目是否计算工作量；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4、项目认定或应用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过程中取得的成绩如何认可。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5、学分互认机制；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0" w:type="auto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40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1068" w:type="pc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服务性保障措施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0"/>
                <w:sz w:val="18"/>
                <w:szCs w:val="18"/>
              </w:rPr>
              <w:t>鼓励项目应用和共享服务的激励措施，包括收费和成本补偿机制，人员激励等；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全新硬笔隶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5977DA"/>
    <w:rsid w:val="35C87165"/>
    <w:rsid w:val="6659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2021-06-17T02:33:00Z</dcterms:created>
  <dc:creator>HDD</dc:creator>
  <cp:lastModifiedBy>HDD</cp:lastModifiedBy>
  <dcterms:modified xsi:type="dcterms:W3CDTF">2021-06-17T02:34:18Z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